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ED" w:rsidRDefault="00AF39ED">
      <w:pPr>
        <w:pStyle w:val="Textoindependiente"/>
        <w:rPr>
          <w:sz w:val="20"/>
        </w:rPr>
      </w:pPr>
      <w:bookmarkStart w:id="0" w:name="_GoBack"/>
      <w:bookmarkEnd w:id="0"/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spacing w:before="5"/>
        <w:rPr>
          <w:sz w:val="19"/>
        </w:rPr>
      </w:pPr>
    </w:p>
    <w:p w:rsidR="00AF39ED" w:rsidRPr="001110D5" w:rsidRDefault="004643D7">
      <w:pPr>
        <w:spacing w:before="84" w:line="352" w:lineRule="auto"/>
        <w:ind w:left="2581" w:right="2579" w:firstLine="1152"/>
        <w:rPr>
          <w:b/>
          <w:sz w:val="36"/>
          <w:lang w:val="es-MX"/>
        </w:rPr>
      </w:pPr>
      <w:r w:rsidRPr="001110D5">
        <w:rPr>
          <w:b/>
          <w:sz w:val="36"/>
          <w:lang w:val="es-MX"/>
        </w:rPr>
        <w:t xml:space="preserve">ANEXO 7 </w:t>
      </w:r>
      <w:r w:rsidRPr="001110D5">
        <w:rPr>
          <w:b/>
          <w:sz w:val="36"/>
          <w:u w:val="thick"/>
          <w:lang w:val="es-MX"/>
        </w:rPr>
        <w:t>PROGRAMA DE OBRA</w:t>
      </w:r>
    </w:p>
    <w:p w:rsidR="00AF39ED" w:rsidRPr="001110D5" w:rsidRDefault="00AF39ED">
      <w:pPr>
        <w:spacing w:line="352" w:lineRule="auto"/>
        <w:rPr>
          <w:sz w:val="36"/>
          <w:lang w:val="es-MX"/>
        </w:rPr>
        <w:sectPr w:rsidR="00AF39ED" w:rsidRPr="001110D5">
          <w:headerReference w:type="default" r:id="rId8"/>
          <w:footerReference w:type="default" r:id="rId9"/>
          <w:type w:val="continuous"/>
          <w:pgSz w:w="12240" w:h="15840"/>
          <w:pgMar w:top="980" w:right="1580" w:bottom="880" w:left="1600" w:header="715" w:footer="690" w:gutter="0"/>
          <w:pgNumType w:start="1"/>
          <w:cols w:space="720"/>
        </w:sectPr>
      </w:pPr>
    </w:p>
    <w:p w:rsidR="00AF39ED" w:rsidRPr="001110D5" w:rsidRDefault="004643D7">
      <w:pPr>
        <w:pStyle w:val="Textoindependiente"/>
        <w:rPr>
          <w:b/>
          <w:sz w:val="20"/>
          <w:lang w:val="es-MX"/>
        </w:rPr>
      </w:pPr>
      <w:r>
        <w:rPr>
          <w:noProof/>
          <w:lang w:val="es-MX" w:eastAsia="es-MX"/>
        </w:rPr>
        <w:lastRenderedPageBreak/>
        <w:drawing>
          <wp:anchor distT="0" distB="0" distL="0" distR="0" simplePos="0" relativeHeight="268419023" behindDoc="1" locked="0" layoutInCell="1" allowOverlap="1">
            <wp:simplePos x="0" y="0"/>
            <wp:positionH relativeFrom="page">
              <wp:posOffset>2226426</wp:posOffset>
            </wp:positionH>
            <wp:positionV relativeFrom="page">
              <wp:posOffset>6521491</wp:posOffset>
            </wp:positionV>
            <wp:extent cx="215008" cy="1143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008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0" distR="0" simplePos="0" relativeHeight="268419047" behindDoc="1" locked="0" layoutInCell="1" allowOverlap="1">
            <wp:simplePos x="0" y="0"/>
            <wp:positionH relativeFrom="page">
              <wp:posOffset>2788892</wp:posOffset>
            </wp:positionH>
            <wp:positionV relativeFrom="page">
              <wp:posOffset>6805362</wp:posOffset>
            </wp:positionV>
            <wp:extent cx="143374" cy="1143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74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0" distR="0" simplePos="0" relativeHeight="268419071" behindDoc="1" locked="0" layoutInCell="1" allowOverlap="1">
            <wp:simplePos x="0" y="0"/>
            <wp:positionH relativeFrom="page">
              <wp:posOffset>4390852</wp:posOffset>
            </wp:positionH>
            <wp:positionV relativeFrom="page">
              <wp:posOffset>6954366</wp:posOffset>
            </wp:positionV>
            <wp:extent cx="143339" cy="11430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39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0" distR="0" simplePos="0" relativeHeight="268419095" behindDoc="1" locked="0" layoutInCell="1" allowOverlap="1">
            <wp:simplePos x="0" y="0"/>
            <wp:positionH relativeFrom="page">
              <wp:posOffset>2796012</wp:posOffset>
            </wp:positionH>
            <wp:positionV relativeFrom="page">
              <wp:posOffset>7082108</wp:posOffset>
            </wp:positionV>
            <wp:extent cx="143339" cy="114300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39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0" distR="0" simplePos="0" relativeHeight="268419119" behindDoc="1" locked="0" layoutInCell="1" allowOverlap="1">
            <wp:simplePos x="0" y="0"/>
            <wp:positionH relativeFrom="page">
              <wp:posOffset>5992812</wp:posOffset>
            </wp:positionH>
            <wp:positionV relativeFrom="page">
              <wp:posOffset>7387269</wp:posOffset>
            </wp:positionV>
            <wp:extent cx="143339" cy="114300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39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s-MX" w:eastAsia="es-MX"/>
        </w:rPr>
        <w:drawing>
          <wp:anchor distT="0" distB="0" distL="0" distR="0" simplePos="0" relativeHeight="268419143" behindDoc="1" locked="0" layoutInCell="1" allowOverlap="1">
            <wp:simplePos x="0" y="0"/>
            <wp:positionH relativeFrom="page">
              <wp:posOffset>6526799</wp:posOffset>
            </wp:positionH>
            <wp:positionV relativeFrom="page">
              <wp:posOffset>7664043</wp:posOffset>
            </wp:positionV>
            <wp:extent cx="143343" cy="114300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343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39ED" w:rsidRPr="001110D5" w:rsidRDefault="00AF39ED">
      <w:pPr>
        <w:pStyle w:val="Textoindependiente"/>
        <w:rPr>
          <w:b/>
          <w:sz w:val="20"/>
          <w:lang w:val="es-MX"/>
        </w:rPr>
      </w:pPr>
    </w:p>
    <w:p w:rsidR="00AF39ED" w:rsidRPr="001110D5" w:rsidRDefault="00AF39ED">
      <w:pPr>
        <w:pStyle w:val="Textoindependiente"/>
        <w:spacing w:before="7"/>
        <w:rPr>
          <w:b/>
          <w:sz w:val="29"/>
          <w:lang w:val="es-MX"/>
        </w:rPr>
      </w:pPr>
    </w:p>
    <w:p w:rsidR="00AF39ED" w:rsidRDefault="004643D7">
      <w:pPr>
        <w:pStyle w:val="Ttulo1"/>
        <w:ind w:left="122" w:firstLine="0"/>
        <w:jc w:val="both"/>
      </w:pPr>
      <w:r w:rsidRPr="001110D5">
        <w:rPr>
          <w:lang w:val="es-MX"/>
        </w:rPr>
        <w:t xml:space="preserve">PARTE 1.- </w:t>
      </w:r>
      <w:r>
        <w:t>CRITERIOS PARA ELABORAR EL PROGRAMA DE OBRA</w:t>
      </w:r>
    </w:p>
    <w:p w:rsidR="00AF39ED" w:rsidRPr="001110D5" w:rsidRDefault="004643D7">
      <w:pPr>
        <w:pStyle w:val="Textoindependiente"/>
        <w:spacing w:before="179" w:line="259" w:lineRule="auto"/>
        <w:ind w:left="122" w:right="117"/>
        <w:jc w:val="both"/>
        <w:rPr>
          <w:lang w:val="es-MX"/>
        </w:rPr>
      </w:pPr>
      <w:r w:rsidRPr="001110D5">
        <w:rPr>
          <w:lang w:val="es-MX"/>
        </w:rPr>
        <w:t>El Programa de Obra corresponde a un documento que elabora el Desarrollador con base en su Propuesta. Sin embargo y a efecto de que el Instituto cuente con la información  necesaria para efectuar el seguimiento y supervisión del avance del Proyecto., Se re</w:t>
      </w:r>
      <w:r w:rsidRPr="001110D5">
        <w:rPr>
          <w:lang w:val="es-MX"/>
        </w:rPr>
        <w:t>quiere que dicho Programa cumpla con los siguientes</w:t>
      </w:r>
      <w:r w:rsidRPr="001110D5">
        <w:rPr>
          <w:spacing w:val="-7"/>
          <w:lang w:val="es-MX"/>
        </w:rPr>
        <w:t xml:space="preserve"> </w:t>
      </w:r>
      <w:r w:rsidRPr="001110D5">
        <w:rPr>
          <w:lang w:val="es-MX"/>
        </w:rPr>
        <w:t>criterios:</w:t>
      </w:r>
    </w:p>
    <w:p w:rsidR="00AF39ED" w:rsidRPr="001110D5" w:rsidRDefault="004643D7">
      <w:pPr>
        <w:pStyle w:val="Prrafodelista"/>
        <w:numPr>
          <w:ilvl w:val="0"/>
          <w:numId w:val="2"/>
        </w:numPr>
        <w:tabs>
          <w:tab w:val="left" w:pos="842"/>
        </w:tabs>
        <w:spacing w:before="163" w:line="259" w:lineRule="auto"/>
        <w:ind w:right="115"/>
        <w:rPr>
          <w:sz w:val="24"/>
          <w:lang w:val="es-MX"/>
        </w:rPr>
      </w:pPr>
      <w:r w:rsidRPr="001110D5">
        <w:rPr>
          <w:sz w:val="24"/>
          <w:lang w:val="es-MX"/>
        </w:rPr>
        <w:t>El Programa de Obra tendrá una duración de 24 (veinticuatro) meses, y estará integrado de 3 fases que se describen a</w:t>
      </w:r>
      <w:r w:rsidRPr="001110D5">
        <w:rPr>
          <w:spacing w:val="-11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continuación:</w:t>
      </w:r>
    </w:p>
    <w:p w:rsidR="00AF39ED" w:rsidRPr="001110D5" w:rsidRDefault="00AF39ED">
      <w:pPr>
        <w:pStyle w:val="Textoindependiente"/>
        <w:spacing w:before="10"/>
        <w:rPr>
          <w:sz w:val="25"/>
          <w:lang w:val="es-MX"/>
        </w:rPr>
      </w:pPr>
    </w:p>
    <w:p w:rsidR="00AF39ED" w:rsidRPr="001110D5" w:rsidRDefault="004643D7">
      <w:pPr>
        <w:pStyle w:val="Prrafodelista"/>
        <w:numPr>
          <w:ilvl w:val="1"/>
          <w:numId w:val="2"/>
        </w:numPr>
        <w:tabs>
          <w:tab w:val="left" w:pos="1190"/>
        </w:tabs>
        <w:spacing w:line="259" w:lineRule="auto"/>
        <w:ind w:right="117"/>
        <w:jc w:val="both"/>
        <w:rPr>
          <w:sz w:val="24"/>
          <w:lang w:val="es-MX"/>
        </w:rPr>
      </w:pPr>
      <w:r w:rsidRPr="001110D5">
        <w:rPr>
          <w:b/>
          <w:sz w:val="24"/>
          <w:lang w:val="es-MX"/>
        </w:rPr>
        <w:t>PROYECTO EJECUTIVO</w:t>
      </w:r>
      <w:r w:rsidRPr="001110D5">
        <w:rPr>
          <w:sz w:val="24"/>
          <w:lang w:val="es-MX"/>
        </w:rPr>
        <w:t>. - Con una duración máxima de 12 (doce) meses, esta fase iniciará una vez que se realice la firma del</w:t>
      </w:r>
      <w:r w:rsidRPr="001110D5">
        <w:rPr>
          <w:spacing w:val="-12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Contrato.</w:t>
      </w:r>
    </w:p>
    <w:p w:rsidR="00AF39ED" w:rsidRPr="001110D5" w:rsidRDefault="004643D7">
      <w:pPr>
        <w:pStyle w:val="Textoindependiente"/>
        <w:spacing w:line="259" w:lineRule="auto"/>
        <w:ind w:left="1190" w:right="117"/>
        <w:jc w:val="both"/>
        <w:rPr>
          <w:lang w:val="es-MX"/>
        </w:rPr>
      </w:pPr>
      <w:r w:rsidRPr="001110D5">
        <w:rPr>
          <w:lang w:val="es-MX"/>
        </w:rPr>
        <w:t xml:space="preserve">Dentro de los primeros 3 (tres) meses se definirá el </w:t>
      </w:r>
      <w:r w:rsidRPr="001110D5">
        <w:rPr>
          <w:i/>
          <w:lang w:val="es-MX"/>
        </w:rPr>
        <w:t xml:space="preserve">Lay out </w:t>
      </w:r>
      <w:r w:rsidRPr="001110D5">
        <w:rPr>
          <w:lang w:val="es-MX"/>
        </w:rPr>
        <w:t>Arquitectónico, para poder continuar en los meses restantes con la elaboración del</w:t>
      </w:r>
      <w:r w:rsidRPr="001110D5">
        <w:rPr>
          <w:lang w:val="es-MX"/>
        </w:rPr>
        <w:t xml:space="preserve"> Proyecto Ejecutivo, conforme a los plazos establecidos en el </w:t>
      </w:r>
      <w:r w:rsidRPr="001110D5">
        <w:rPr>
          <w:b/>
          <w:lang w:val="es-MX"/>
        </w:rPr>
        <w:t xml:space="preserve">Apéndice B </w:t>
      </w:r>
      <w:r w:rsidRPr="001110D5">
        <w:rPr>
          <w:lang w:val="es-MX"/>
        </w:rPr>
        <w:t xml:space="preserve">del </w:t>
      </w:r>
      <w:r w:rsidRPr="001110D5">
        <w:rPr>
          <w:b/>
          <w:lang w:val="es-MX"/>
        </w:rPr>
        <w:t>Anexo 5 (</w:t>
      </w:r>
      <w:r w:rsidRPr="001110D5">
        <w:rPr>
          <w:b/>
          <w:i/>
          <w:lang w:val="es-MX"/>
        </w:rPr>
        <w:t>Procedimiento de Revisión</w:t>
      </w:r>
      <w:r w:rsidRPr="001110D5">
        <w:rPr>
          <w:lang w:val="es-MX"/>
        </w:rPr>
        <w:t xml:space="preserve">). Al definirse el </w:t>
      </w:r>
      <w:r w:rsidRPr="001110D5">
        <w:rPr>
          <w:i/>
          <w:lang w:val="es-MX"/>
        </w:rPr>
        <w:t xml:space="preserve">Lay out </w:t>
      </w:r>
      <w:r w:rsidRPr="001110D5">
        <w:rPr>
          <w:lang w:val="es-MX"/>
        </w:rPr>
        <w:t>Arquitectónico, iniciará la fase de</w:t>
      </w:r>
      <w:r w:rsidRPr="001110D5">
        <w:rPr>
          <w:spacing w:val="-5"/>
          <w:lang w:val="es-MX"/>
        </w:rPr>
        <w:t xml:space="preserve"> </w:t>
      </w:r>
      <w:r w:rsidRPr="001110D5">
        <w:rPr>
          <w:lang w:val="es-MX"/>
        </w:rPr>
        <w:t>Construcción.</w:t>
      </w:r>
    </w:p>
    <w:p w:rsidR="00AF39ED" w:rsidRPr="001110D5" w:rsidRDefault="00AF39ED">
      <w:pPr>
        <w:pStyle w:val="Textoindependiente"/>
        <w:spacing w:before="10"/>
        <w:rPr>
          <w:sz w:val="25"/>
          <w:lang w:val="es-MX"/>
        </w:rPr>
      </w:pPr>
    </w:p>
    <w:p w:rsidR="00AF39ED" w:rsidRPr="001110D5" w:rsidRDefault="004643D7">
      <w:pPr>
        <w:pStyle w:val="Prrafodelista"/>
        <w:numPr>
          <w:ilvl w:val="1"/>
          <w:numId w:val="2"/>
        </w:numPr>
        <w:tabs>
          <w:tab w:val="left" w:pos="1190"/>
        </w:tabs>
        <w:spacing w:line="259" w:lineRule="auto"/>
        <w:ind w:right="117"/>
        <w:jc w:val="both"/>
        <w:rPr>
          <w:sz w:val="24"/>
          <w:lang w:val="es-MX"/>
        </w:rPr>
      </w:pPr>
      <w:r w:rsidRPr="001110D5">
        <w:rPr>
          <w:b/>
          <w:sz w:val="24"/>
          <w:lang w:val="es-MX"/>
        </w:rPr>
        <w:t>CONSTRUCCIÓN</w:t>
      </w:r>
      <w:r w:rsidRPr="001110D5">
        <w:rPr>
          <w:sz w:val="24"/>
          <w:lang w:val="es-MX"/>
        </w:rPr>
        <w:t>. - Con una duración de 18 (dieciocho) meses, esta fase</w:t>
      </w:r>
      <w:r w:rsidRPr="001110D5">
        <w:rPr>
          <w:sz w:val="24"/>
          <w:lang w:val="es-MX"/>
        </w:rPr>
        <w:t xml:space="preserve"> iniciará 3 (tres) meses después de la firma del Contrato y/o a la definición del Lay out</w:t>
      </w:r>
      <w:r w:rsidRPr="001110D5">
        <w:rPr>
          <w:spacing w:val="-9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Arquitectónico.</w:t>
      </w:r>
    </w:p>
    <w:p w:rsidR="00AF39ED" w:rsidRPr="001110D5" w:rsidRDefault="004643D7">
      <w:pPr>
        <w:pStyle w:val="Textoindependiente"/>
        <w:spacing w:line="259" w:lineRule="auto"/>
        <w:ind w:left="1190" w:right="120"/>
        <w:jc w:val="both"/>
        <w:rPr>
          <w:lang w:val="es-MX"/>
        </w:rPr>
      </w:pPr>
      <w:r w:rsidRPr="001110D5">
        <w:rPr>
          <w:lang w:val="es-MX"/>
        </w:rPr>
        <w:t>Dentro de los primeros 9 (nueve) meses de Construcción, deberá haber quedado concluido el Proyecto Ejecutivo.</w:t>
      </w:r>
    </w:p>
    <w:p w:rsidR="00AF39ED" w:rsidRPr="001110D5" w:rsidRDefault="00AF39ED">
      <w:pPr>
        <w:pStyle w:val="Textoindependiente"/>
        <w:spacing w:before="1"/>
        <w:rPr>
          <w:sz w:val="26"/>
          <w:lang w:val="es-MX"/>
        </w:rPr>
      </w:pPr>
    </w:p>
    <w:p w:rsidR="00AF39ED" w:rsidRPr="001110D5" w:rsidRDefault="004643D7">
      <w:pPr>
        <w:pStyle w:val="Prrafodelista"/>
        <w:numPr>
          <w:ilvl w:val="1"/>
          <w:numId w:val="2"/>
        </w:numPr>
        <w:tabs>
          <w:tab w:val="left" w:pos="1190"/>
        </w:tabs>
        <w:spacing w:line="259" w:lineRule="auto"/>
        <w:ind w:right="115"/>
        <w:jc w:val="both"/>
        <w:rPr>
          <w:sz w:val="24"/>
          <w:lang w:val="es-MX"/>
        </w:rPr>
      </w:pPr>
      <w:r w:rsidRPr="001110D5">
        <w:rPr>
          <w:b/>
          <w:sz w:val="24"/>
          <w:lang w:val="es-MX"/>
        </w:rPr>
        <w:t>PERIODO DE PREOPERACIÓN</w:t>
      </w:r>
      <w:r w:rsidRPr="001110D5">
        <w:rPr>
          <w:sz w:val="24"/>
          <w:lang w:val="es-MX"/>
        </w:rPr>
        <w:t>. - Con una dura</w:t>
      </w:r>
      <w:r w:rsidRPr="001110D5">
        <w:rPr>
          <w:sz w:val="24"/>
          <w:lang w:val="es-MX"/>
        </w:rPr>
        <w:t xml:space="preserve">ción de 3 (tres) meses, esta fase se encuentra definida en el </w:t>
      </w:r>
      <w:r w:rsidRPr="001110D5">
        <w:rPr>
          <w:b/>
          <w:sz w:val="24"/>
          <w:lang w:val="es-MX"/>
        </w:rPr>
        <w:t>Anexo 1</w:t>
      </w:r>
      <w:r w:rsidRPr="001110D5">
        <w:rPr>
          <w:b/>
          <w:spacing w:val="-8"/>
          <w:sz w:val="24"/>
          <w:lang w:val="es-MX"/>
        </w:rPr>
        <w:t xml:space="preserve"> </w:t>
      </w:r>
      <w:r w:rsidRPr="001110D5">
        <w:rPr>
          <w:b/>
          <w:sz w:val="24"/>
          <w:lang w:val="es-MX"/>
        </w:rPr>
        <w:t>(Definiciones)</w:t>
      </w:r>
      <w:r w:rsidRPr="001110D5">
        <w:rPr>
          <w:sz w:val="24"/>
          <w:lang w:val="es-MX"/>
        </w:rPr>
        <w:t>.</w:t>
      </w: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4643D7">
      <w:pPr>
        <w:pStyle w:val="Textoindependiente"/>
        <w:spacing w:before="2"/>
        <w:rPr>
          <w:sz w:val="16"/>
          <w:lang w:val="es-MX"/>
        </w:rPr>
      </w:pPr>
      <w:r>
        <w:pict>
          <v:group id="_x0000_s1026" style="position:absolute;margin-left:85.05pt;margin-top:11.3pt;width:435.95pt;height:12.4pt;z-index:1072;mso-wrap-distance-left:0;mso-wrap-distance-right:0;mso-position-horizontal-relative:page" coordorigin="1701,226" coordsize="8719,248">
            <v:line id="_x0000_s1038" style="position:absolute" from="3671,248" to="3671,462" strokeweight=".19778mm"/>
            <v:line id="_x0000_s1037" style="position:absolute" from="3671,243" to="3671,467" strokeweight=".19778mm"/>
            <v:line id="_x0000_s1036" style="position:absolute" from="10407,248" to="10407,462" strokeweight=".19778mm"/>
            <v:line id="_x0000_s1035" style="position:absolute" from="10407,243" to="10407,467" strokeweight=".19778mm"/>
            <v:line id="_x0000_s1034" style="position:absolute" from="1707,237" to="1707,462" strokeweight=".19778mm"/>
            <v:line id="_x0000_s1033" style="position:absolute" from="1707,232" to="1707,467" strokeweight=".19778mm"/>
            <v:line id="_x0000_s1032" style="position:absolute" from="1718,237" to="10407,237" strokeweight=".19714mm"/>
            <v:line id="_x0000_s1031" style="position:absolute" from="1712,237" to="10413,237" strokeweight=".19714mm"/>
            <v:line id="_x0000_s1030" style="position:absolute" from="1718,462" to="10407,462" strokeweight=".19714mm"/>
            <v:line id="_x0000_s1029" style="position:absolute" from="1712,462" to="10413,462" strokeweight=".19714mm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707;top:237;width:1965;height:225" filled="f" stroked="f">
              <v:textbox inset="0,0,0,0">
                <w:txbxContent>
                  <w:p w:rsidR="00AF39ED" w:rsidRDefault="004643D7">
                    <w:pPr>
                      <w:spacing w:before="12"/>
                      <w:ind w:left="477"/>
                      <w:rPr>
                        <w:rFonts w:ascii="Calibri"/>
                        <w:sz w:val="17"/>
                      </w:rPr>
                    </w:pPr>
                    <w:proofErr w:type="spellStart"/>
                    <w:r>
                      <w:rPr>
                        <w:rFonts w:ascii="Calibri"/>
                        <w:sz w:val="17"/>
                      </w:rPr>
                      <w:t>Actividad</w:t>
                    </w:r>
                    <w:proofErr w:type="spellEnd"/>
                    <w:r>
                      <w:rPr>
                        <w:rFonts w:ascii="Calibri"/>
                        <w:sz w:val="17"/>
                      </w:rPr>
                      <w:t>/Hito</w:t>
                    </w:r>
                  </w:p>
                </w:txbxContent>
              </v:textbox>
            </v:shape>
            <v:shape id="_x0000_s1027" type="#_x0000_t202" style="position:absolute;left:3671;top:237;width:6736;height:225" filled="f" stroked="f">
              <v:textbox inset="0,0,0,0">
                <w:txbxContent>
                  <w:p w:rsidR="00AF39ED" w:rsidRDefault="004643D7">
                    <w:pPr>
                      <w:spacing w:before="1"/>
                      <w:ind w:left="3133" w:right="3125"/>
                      <w:jc w:val="center"/>
                      <w:rPr>
                        <w:rFonts w:ascii="Calibri"/>
                        <w:sz w:val="17"/>
                      </w:rPr>
                    </w:pPr>
                    <w:proofErr w:type="spellStart"/>
                    <w:proofErr w:type="gramStart"/>
                    <w:r>
                      <w:rPr>
                        <w:rFonts w:ascii="Calibri"/>
                        <w:sz w:val="17"/>
                      </w:rPr>
                      <w:t>meses</w:t>
                    </w:r>
                    <w:proofErr w:type="spellEnd"/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AF39ED" w:rsidRDefault="004643D7">
      <w:pPr>
        <w:spacing w:line="179" w:lineRule="exact"/>
        <w:ind w:left="2265"/>
        <w:rPr>
          <w:rFonts w:ascii="Calibri"/>
          <w:sz w:val="17"/>
        </w:rPr>
      </w:pPr>
      <w:r>
        <w:rPr>
          <w:rFonts w:ascii="Calibri"/>
          <w:sz w:val="17"/>
        </w:rPr>
        <w:t xml:space="preserve">1     2     3     4     5     6     7     8     9   </w:t>
      </w:r>
      <w:r>
        <w:rPr>
          <w:rFonts w:ascii="Calibri"/>
          <w:spacing w:val="-4"/>
          <w:sz w:val="17"/>
        </w:rPr>
        <w:t xml:space="preserve">10   11   12   13   14   15   16   17   18   19   20   21   22   23        </w:t>
      </w:r>
      <w:r>
        <w:rPr>
          <w:rFonts w:ascii="Calibri"/>
          <w:spacing w:val="-8"/>
          <w:sz w:val="17"/>
        </w:rPr>
        <w:t>24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0"/>
        <w:gridCol w:w="281"/>
        <w:gridCol w:w="281"/>
        <w:gridCol w:w="280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0"/>
        <w:gridCol w:w="281"/>
        <w:gridCol w:w="281"/>
        <w:gridCol w:w="281"/>
      </w:tblGrid>
      <w:tr w:rsidR="00AF39ED">
        <w:trPr>
          <w:trHeight w:hRule="exact" w:val="224"/>
        </w:trPr>
        <w:tc>
          <w:tcPr>
            <w:tcW w:w="1970" w:type="dxa"/>
            <w:tcBorders>
              <w:top w:val="nil"/>
              <w:left w:val="nil"/>
            </w:tcBorders>
          </w:tcPr>
          <w:p w:rsidR="00AF39ED" w:rsidRDefault="004643D7">
            <w:pPr>
              <w:pStyle w:val="TableParagraph"/>
              <w:spacing w:before="12"/>
              <w:rPr>
                <w:sz w:val="17"/>
              </w:rPr>
            </w:pPr>
            <w:r>
              <w:rPr>
                <w:sz w:val="17"/>
              </w:rPr>
              <w:t xml:space="preserve">Firma </w:t>
            </w:r>
            <w:proofErr w:type="spellStart"/>
            <w:r>
              <w:rPr>
                <w:sz w:val="17"/>
              </w:rPr>
              <w:t>Contrato</w:t>
            </w:r>
            <w:proofErr w:type="spellEnd"/>
          </w:p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</w:tr>
      <w:tr w:rsidR="00AF39ED">
        <w:trPr>
          <w:trHeight w:hRule="exact" w:val="225"/>
        </w:trPr>
        <w:tc>
          <w:tcPr>
            <w:tcW w:w="1970" w:type="dxa"/>
            <w:tcBorders>
              <w:left w:val="nil"/>
            </w:tcBorders>
          </w:tcPr>
          <w:p w:rsidR="00AF39ED" w:rsidRDefault="004643D7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95"/>
                <w:sz w:val="17"/>
              </w:rPr>
              <w:t xml:space="preserve">Proyecto </w:t>
            </w:r>
            <w:proofErr w:type="spellStart"/>
            <w:r>
              <w:rPr>
                <w:b/>
                <w:w w:val="95"/>
                <w:sz w:val="17"/>
              </w:rPr>
              <w:t>Ejecutivo</w:t>
            </w:r>
            <w:proofErr w:type="spellEnd"/>
          </w:p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0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</w:tr>
      <w:tr w:rsidR="00AF39ED">
        <w:trPr>
          <w:trHeight w:hRule="exact" w:val="225"/>
        </w:trPr>
        <w:tc>
          <w:tcPr>
            <w:tcW w:w="1970" w:type="dxa"/>
            <w:tcBorders>
              <w:left w:val="nil"/>
            </w:tcBorders>
          </w:tcPr>
          <w:p w:rsidR="00AF39ED" w:rsidRDefault="004643D7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 xml:space="preserve">Lay-out </w:t>
            </w:r>
            <w:proofErr w:type="spellStart"/>
            <w:r>
              <w:rPr>
                <w:sz w:val="17"/>
              </w:rPr>
              <w:t>Arq</w:t>
            </w:r>
            <w:proofErr w:type="spellEnd"/>
          </w:p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</w:tr>
      <w:tr w:rsidR="00AF39ED">
        <w:trPr>
          <w:trHeight w:hRule="exact" w:val="224"/>
        </w:trPr>
        <w:tc>
          <w:tcPr>
            <w:tcW w:w="1970" w:type="dxa"/>
            <w:tcBorders>
              <w:left w:val="nil"/>
              <w:bottom w:val="single" w:sz="5" w:space="0" w:color="000000"/>
            </w:tcBorders>
          </w:tcPr>
          <w:p w:rsidR="00AF39ED" w:rsidRDefault="004643D7">
            <w:pPr>
              <w:pStyle w:val="TableParagraph"/>
              <w:rPr>
                <w:sz w:val="17"/>
              </w:rPr>
            </w:pPr>
            <w:proofErr w:type="spellStart"/>
            <w:r>
              <w:rPr>
                <w:sz w:val="17"/>
              </w:rPr>
              <w:t>Cierre</w:t>
            </w:r>
            <w:proofErr w:type="spellEnd"/>
            <w:r>
              <w:rPr>
                <w:sz w:val="17"/>
              </w:rPr>
              <w:t xml:space="preserve"> Proyecto </w:t>
            </w:r>
            <w:proofErr w:type="spellStart"/>
            <w:r>
              <w:rPr>
                <w:sz w:val="17"/>
              </w:rPr>
              <w:t>Ejecutivo</w:t>
            </w:r>
            <w:proofErr w:type="spellEnd"/>
          </w:p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</w:tr>
      <w:tr w:rsidR="00AF39ED">
        <w:trPr>
          <w:trHeight w:hRule="exact" w:val="224"/>
        </w:trPr>
        <w:tc>
          <w:tcPr>
            <w:tcW w:w="1970" w:type="dxa"/>
            <w:tcBorders>
              <w:top w:val="single" w:sz="5" w:space="0" w:color="000000"/>
              <w:left w:val="nil"/>
            </w:tcBorders>
          </w:tcPr>
          <w:p w:rsidR="00AF39ED" w:rsidRDefault="004643D7">
            <w:pPr>
              <w:pStyle w:val="TableParagraph"/>
              <w:rPr>
                <w:sz w:val="17"/>
              </w:rPr>
            </w:pPr>
            <w:proofErr w:type="spellStart"/>
            <w:r>
              <w:rPr>
                <w:sz w:val="17"/>
              </w:rPr>
              <w:t>Inicia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Construcción</w:t>
            </w:r>
            <w:proofErr w:type="spellEnd"/>
          </w:p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</w:tr>
      <w:tr w:rsidR="00AF39ED">
        <w:trPr>
          <w:trHeight w:hRule="exact" w:val="225"/>
        </w:trPr>
        <w:tc>
          <w:tcPr>
            <w:tcW w:w="1970" w:type="dxa"/>
            <w:tcBorders>
              <w:left w:val="nil"/>
            </w:tcBorders>
          </w:tcPr>
          <w:p w:rsidR="00AF39ED" w:rsidRDefault="004643D7">
            <w:pPr>
              <w:pStyle w:val="TableParagraph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Construcción</w:t>
            </w:r>
            <w:proofErr w:type="spellEnd"/>
          </w:p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1" w:type="dxa"/>
            <w:shd w:val="clear" w:color="auto" w:fill="FFFF00"/>
          </w:tcPr>
          <w:p w:rsidR="00AF39ED" w:rsidRDefault="00AF39ED"/>
        </w:tc>
        <w:tc>
          <w:tcPr>
            <w:tcW w:w="280" w:type="dxa"/>
            <w:shd w:val="clear" w:color="auto" w:fill="FFFF00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</w:tr>
      <w:tr w:rsidR="00AF39ED">
        <w:trPr>
          <w:trHeight w:hRule="exact" w:val="225"/>
        </w:trPr>
        <w:tc>
          <w:tcPr>
            <w:tcW w:w="1970" w:type="dxa"/>
            <w:tcBorders>
              <w:left w:val="nil"/>
            </w:tcBorders>
          </w:tcPr>
          <w:p w:rsidR="00AF39ED" w:rsidRDefault="004643D7">
            <w:pPr>
              <w:pStyle w:val="TableParagraph"/>
              <w:rPr>
                <w:sz w:val="17"/>
              </w:rPr>
            </w:pPr>
            <w:proofErr w:type="spellStart"/>
            <w:r>
              <w:rPr>
                <w:sz w:val="17"/>
              </w:rPr>
              <w:t>Terminación</w:t>
            </w:r>
            <w:proofErr w:type="spellEnd"/>
            <w:r>
              <w:rPr>
                <w:sz w:val="17"/>
              </w:rPr>
              <w:t xml:space="preserve"> de </w:t>
            </w:r>
            <w:proofErr w:type="spellStart"/>
            <w:r>
              <w:rPr>
                <w:sz w:val="17"/>
              </w:rPr>
              <w:t>Obra</w:t>
            </w:r>
            <w:proofErr w:type="spellEnd"/>
          </w:p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0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  <w:tc>
          <w:tcPr>
            <w:tcW w:w="281" w:type="dxa"/>
          </w:tcPr>
          <w:p w:rsidR="00AF39ED" w:rsidRDefault="00AF39ED"/>
        </w:tc>
      </w:tr>
      <w:tr w:rsidR="00AF39ED">
        <w:trPr>
          <w:trHeight w:hRule="exact" w:val="224"/>
        </w:trPr>
        <w:tc>
          <w:tcPr>
            <w:tcW w:w="1970" w:type="dxa"/>
            <w:tcBorders>
              <w:left w:val="nil"/>
              <w:bottom w:val="single" w:sz="5" w:space="0" w:color="000000"/>
            </w:tcBorders>
          </w:tcPr>
          <w:p w:rsidR="00AF39ED" w:rsidRDefault="004643D7">
            <w:pPr>
              <w:pStyle w:val="TableParagraph"/>
              <w:rPr>
                <w:b/>
                <w:sz w:val="17"/>
              </w:rPr>
            </w:pPr>
            <w:proofErr w:type="spellStart"/>
            <w:r>
              <w:rPr>
                <w:b/>
                <w:sz w:val="17"/>
              </w:rPr>
              <w:t>Preoperación</w:t>
            </w:r>
            <w:proofErr w:type="spellEnd"/>
          </w:p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bottom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  <w:shd w:val="clear" w:color="auto" w:fill="FFFF00"/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  <w:shd w:val="clear" w:color="auto" w:fill="FFFF00"/>
          </w:tcPr>
          <w:p w:rsidR="00AF39ED" w:rsidRDefault="00AF39ED"/>
        </w:tc>
        <w:tc>
          <w:tcPr>
            <w:tcW w:w="281" w:type="dxa"/>
            <w:tcBorders>
              <w:bottom w:val="single" w:sz="5" w:space="0" w:color="000000"/>
            </w:tcBorders>
            <w:shd w:val="clear" w:color="auto" w:fill="FFFF00"/>
          </w:tcPr>
          <w:p w:rsidR="00AF39ED" w:rsidRDefault="00AF39ED"/>
        </w:tc>
      </w:tr>
      <w:tr w:rsidR="00AF39ED">
        <w:trPr>
          <w:trHeight w:hRule="exact" w:val="224"/>
        </w:trPr>
        <w:tc>
          <w:tcPr>
            <w:tcW w:w="1970" w:type="dxa"/>
            <w:tcBorders>
              <w:top w:val="single" w:sz="5" w:space="0" w:color="000000"/>
              <w:left w:val="nil"/>
            </w:tcBorders>
          </w:tcPr>
          <w:p w:rsidR="00AF39ED" w:rsidRDefault="004643D7">
            <w:pPr>
              <w:pStyle w:val="TableParagraph"/>
              <w:rPr>
                <w:sz w:val="17"/>
              </w:rPr>
            </w:pPr>
            <w:proofErr w:type="spellStart"/>
            <w:r>
              <w:rPr>
                <w:sz w:val="17"/>
              </w:rPr>
              <w:t>Inicio</w:t>
            </w:r>
            <w:proofErr w:type="spellEnd"/>
            <w:r>
              <w:rPr>
                <w:sz w:val="17"/>
              </w:rPr>
              <w:t xml:space="preserve"> de </w:t>
            </w:r>
            <w:proofErr w:type="spellStart"/>
            <w:r>
              <w:rPr>
                <w:sz w:val="17"/>
              </w:rPr>
              <w:t>Servicios</w:t>
            </w:r>
            <w:proofErr w:type="spellEnd"/>
          </w:p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0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  <w:tc>
          <w:tcPr>
            <w:tcW w:w="281" w:type="dxa"/>
            <w:tcBorders>
              <w:top w:val="single" w:sz="5" w:space="0" w:color="000000"/>
            </w:tcBorders>
          </w:tcPr>
          <w:p w:rsidR="00AF39ED" w:rsidRDefault="00AF39ED"/>
        </w:tc>
      </w:tr>
    </w:tbl>
    <w:p w:rsidR="00AF39ED" w:rsidRDefault="00AF39ED">
      <w:pPr>
        <w:sectPr w:rsidR="00AF39ED">
          <w:pgSz w:w="12240" w:h="15840"/>
          <w:pgMar w:top="980" w:right="1580" w:bottom="880" w:left="1580" w:header="715" w:footer="690" w:gutter="0"/>
          <w:cols w:space="720"/>
        </w:sectPr>
      </w:pPr>
    </w:p>
    <w:p w:rsidR="00AF39ED" w:rsidRDefault="00AF39ED">
      <w:pPr>
        <w:pStyle w:val="Textoindependiente"/>
        <w:rPr>
          <w:rFonts w:ascii="Calibri"/>
          <w:sz w:val="28"/>
        </w:rPr>
      </w:pPr>
    </w:p>
    <w:p w:rsidR="00AF39ED" w:rsidRDefault="004643D7">
      <w:pPr>
        <w:pStyle w:val="Ttulo1"/>
        <w:numPr>
          <w:ilvl w:val="2"/>
          <w:numId w:val="2"/>
        </w:numPr>
        <w:tabs>
          <w:tab w:val="left" w:pos="1542"/>
        </w:tabs>
      </w:pPr>
      <w:r>
        <w:t>PROYECTO</w:t>
      </w:r>
      <w:r>
        <w:rPr>
          <w:spacing w:val="-4"/>
        </w:rPr>
        <w:t xml:space="preserve"> </w:t>
      </w:r>
      <w:r>
        <w:t>EJECUTIVO</w:t>
      </w:r>
    </w:p>
    <w:p w:rsidR="00AF39ED" w:rsidRPr="001110D5" w:rsidRDefault="004643D7">
      <w:pPr>
        <w:pStyle w:val="Textoindependiente"/>
        <w:spacing w:before="180" w:line="256" w:lineRule="auto"/>
        <w:ind w:left="102" w:right="116"/>
        <w:jc w:val="both"/>
        <w:rPr>
          <w:lang w:val="es-MX"/>
        </w:rPr>
      </w:pPr>
      <w:r w:rsidRPr="001110D5">
        <w:rPr>
          <w:lang w:val="es-MX"/>
        </w:rPr>
        <w:t>La fase de Proyecto Ejecutivo se debe de ejecutar en 12 meses y se divide en un total de 51 (cincuenta y un) partidas, agrupadas en dos secciones:</w:t>
      </w:r>
    </w:p>
    <w:p w:rsidR="00AF39ED" w:rsidRPr="001110D5" w:rsidRDefault="004643D7">
      <w:pPr>
        <w:pStyle w:val="Textoindependiente"/>
        <w:spacing w:before="166" w:line="259" w:lineRule="auto"/>
        <w:ind w:left="102" w:right="115"/>
        <w:jc w:val="both"/>
        <w:rPr>
          <w:lang w:val="es-MX"/>
        </w:rPr>
      </w:pPr>
      <w:r w:rsidRPr="001110D5">
        <w:rPr>
          <w:b/>
          <w:lang w:val="es-MX"/>
        </w:rPr>
        <w:t>Lay out Arquitectónico</w:t>
      </w:r>
      <w:r w:rsidRPr="001110D5">
        <w:rPr>
          <w:lang w:val="es-MX"/>
        </w:rPr>
        <w:t>: comprende las partidas 1 (Zonificación y Funcionamiento), 2 (Programa Médico Arquitec</w:t>
      </w:r>
      <w:r w:rsidRPr="001110D5">
        <w:rPr>
          <w:lang w:val="es-MX"/>
        </w:rPr>
        <w:t>tónico), 3 (Memoria Descriptiva), 4 (Plantas Arquitectónicas),  5 (Cortes Arquitectónicos), 6 (Fachadas Arquitectónicas), 7 (Preliminares de Proyecto), 8 (Proyecto de Terracerías), 9 (Proyecto Estructural) y 10 (Instalación Sanitaria, Pluvial y Tratamiento</w:t>
      </w:r>
      <w:r w:rsidRPr="001110D5">
        <w:rPr>
          <w:lang w:val="es-MX"/>
        </w:rPr>
        <w:t xml:space="preserve">); conforme a lo descrito en el </w:t>
      </w:r>
      <w:r w:rsidRPr="001110D5">
        <w:rPr>
          <w:b/>
          <w:lang w:val="es-MX"/>
        </w:rPr>
        <w:t xml:space="preserve">Apéndice B </w:t>
      </w:r>
      <w:r w:rsidRPr="001110D5">
        <w:rPr>
          <w:lang w:val="es-MX"/>
        </w:rPr>
        <w:t>(</w:t>
      </w:r>
      <w:r w:rsidRPr="001110D5">
        <w:rPr>
          <w:b/>
          <w:lang w:val="es-MX"/>
        </w:rPr>
        <w:t>Tabla de Entregas y Plazos</w:t>
      </w:r>
      <w:r w:rsidRPr="001110D5">
        <w:rPr>
          <w:lang w:val="es-MX"/>
        </w:rPr>
        <w:t xml:space="preserve">) del </w:t>
      </w:r>
      <w:r w:rsidRPr="001110D5">
        <w:rPr>
          <w:b/>
          <w:lang w:val="es-MX"/>
        </w:rPr>
        <w:t xml:space="preserve">Anexo 5 </w:t>
      </w:r>
      <w:r w:rsidRPr="001110D5">
        <w:rPr>
          <w:lang w:val="es-MX"/>
        </w:rPr>
        <w:t>(</w:t>
      </w:r>
      <w:r w:rsidRPr="001110D5">
        <w:rPr>
          <w:b/>
          <w:i/>
          <w:lang w:val="es-MX"/>
        </w:rPr>
        <w:t>Procedimiento de Revisión</w:t>
      </w:r>
      <w:r w:rsidRPr="001110D5">
        <w:rPr>
          <w:lang w:val="es-MX"/>
        </w:rPr>
        <w:t>). (Antes del inicio de la</w:t>
      </w:r>
      <w:r w:rsidRPr="001110D5">
        <w:rPr>
          <w:spacing w:val="-12"/>
          <w:lang w:val="es-MX"/>
        </w:rPr>
        <w:t xml:space="preserve"> </w:t>
      </w:r>
      <w:r w:rsidRPr="001110D5">
        <w:rPr>
          <w:lang w:val="es-MX"/>
        </w:rPr>
        <w:t>construcción)</w:t>
      </w:r>
    </w:p>
    <w:p w:rsidR="00AF39ED" w:rsidRPr="001110D5" w:rsidRDefault="004643D7">
      <w:pPr>
        <w:pStyle w:val="Ttulo1"/>
        <w:spacing w:before="166" w:line="259" w:lineRule="auto"/>
        <w:ind w:left="102" w:right="116" w:firstLine="0"/>
        <w:jc w:val="both"/>
        <w:rPr>
          <w:lang w:val="es-MX"/>
        </w:rPr>
      </w:pPr>
      <w:r w:rsidRPr="001110D5">
        <w:rPr>
          <w:lang w:val="es-MX"/>
        </w:rPr>
        <w:t xml:space="preserve">Continuación de Proyecto Ejecutivo: Comprende las partidas de la 11 (Guías Mecánicas) a la 51 (Modelo de </w:t>
      </w:r>
      <w:r w:rsidRPr="001110D5">
        <w:rPr>
          <w:lang w:val="es-MX"/>
        </w:rPr>
        <w:t>Preconstrucción Virtual); conforme a lo descrito en el Apéndice B (Tabla de Entregas y Plazos) del Anexo 5 (</w:t>
      </w:r>
      <w:r w:rsidRPr="001110D5">
        <w:rPr>
          <w:i/>
          <w:lang w:val="es-MX"/>
        </w:rPr>
        <w:t>Procedimiento de Revisión</w:t>
      </w:r>
      <w:r w:rsidRPr="001110D5">
        <w:rPr>
          <w:lang w:val="es-MX"/>
        </w:rPr>
        <w:t>).</w:t>
      </w:r>
    </w:p>
    <w:p w:rsidR="00AF39ED" w:rsidRPr="001110D5" w:rsidRDefault="004643D7">
      <w:pPr>
        <w:pStyle w:val="Textoindependiente"/>
        <w:spacing w:before="159" w:line="256" w:lineRule="auto"/>
        <w:ind w:left="102" w:right="119"/>
        <w:jc w:val="both"/>
        <w:rPr>
          <w:lang w:val="es-MX"/>
        </w:rPr>
      </w:pPr>
      <w:r w:rsidRPr="001110D5">
        <w:rPr>
          <w:lang w:val="es-MX"/>
        </w:rPr>
        <w:t>Se deberá considerar que todas las partidas que se presenten en el Proyecto Ejecutivo, deberán corresponder a las que se presenten en el programa de Construcción.</w:t>
      </w:r>
    </w:p>
    <w:p w:rsidR="00AF39ED" w:rsidRPr="001110D5" w:rsidRDefault="004643D7">
      <w:pPr>
        <w:spacing w:before="166" w:line="259" w:lineRule="auto"/>
        <w:ind w:left="102" w:right="114"/>
        <w:jc w:val="both"/>
        <w:rPr>
          <w:b/>
          <w:sz w:val="24"/>
          <w:lang w:val="es-MX"/>
        </w:rPr>
      </w:pPr>
      <w:r w:rsidRPr="001110D5">
        <w:rPr>
          <w:sz w:val="24"/>
          <w:lang w:val="es-MX"/>
        </w:rPr>
        <w:t>Para la calendarización de esta fase (a. Proyecto Ejecutivo), el Desarrollador podrá presenta</w:t>
      </w:r>
      <w:r w:rsidRPr="001110D5">
        <w:rPr>
          <w:sz w:val="24"/>
          <w:lang w:val="es-MX"/>
        </w:rPr>
        <w:t xml:space="preserve">r al Instituto a través del </w:t>
      </w:r>
      <w:r w:rsidRPr="001110D5">
        <w:rPr>
          <w:b/>
          <w:sz w:val="24"/>
          <w:lang w:val="es-MX"/>
        </w:rPr>
        <w:t xml:space="preserve">Anexo 5 (Procedimiento de Revisión) </w:t>
      </w:r>
      <w:r w:rsidRPr="001110D5">
        <w:rPr>
          <w:sz w:val="24"/>
          <w:lang w:val="es-MX"/>
        </w:rPr>
        <w:t xml:space="preserve">un programa con plazos anticipados que permitan optimizar el tiempo de los trabajos de construcción y sus procedimientos constructivos. De esta forma, el Desarrollador podrá ajustar </w:t>
      </w:r>
      <w:r w:rsidRPr="001110D5">
        <w:rPr>
          <w:spacing w:val="4"/>
          <w:sz w:val="24"/>
          <w:lang w:val="es-MX"/>
        </w:rPr>
        <w:t xml:space="preserve">la </w:t>
      </w:r>
      <w:r w:rsidRPr="001110D5">
        <w:rPr>
          <w:sz w:val="24"/>
          <w:lang w:val="es-MX"/>
        </w:rPr>
        <w:t>program</w:t>
      </w:r>
      <w:r w:rsidRPr="001110D5">
        <w:rPr>
          <w:sz w:val="24"/>
          <w:lang w:val="es-MX"/>
        </w:rPr>
        <w:t xml:space="preserve">ación de las 51 partidas del Proyecto Ejecutivo, respecto de los tiempos establecidos en el </w:t>
      </w:r>
      <w:r w:rsidRPr="001110D5">
        <w:rPr>
          <w:b/>
          <w:sz w:val="24"/>
          <w:lang w:val="es-MX"/>
        </w:rPr>
        <w:t xml:space="preserve">Apéndice B </w:t>
      </w:r>
      <w:r w:rsidRPr="001110D5">
        <w:rPr>
          <w:sz w:val="24"/>
          <w:lang w:val="es-MX"/>
        </w:rPr>
        <w:t>(</w:t>
      </w:r>
      <w:r w:rsidRPr="001110D5">
        <w:rPr>
          <w:b/>
          <w:sz w:val="24"/>
          <w:lang w:val="es-MX"/>
        </w:rPr>
        <w:t>Tabla de Entregas y Plazos</w:t>
      </w:r>
      <w:r w:rsidRPr="001110D5">
        <w:rPr>
          <w:sz w:val="24"/>
          <w:lang w:val="es-MX"/>
        </w:rPr>
        <w:t xml:space="preserve">) del </w:t>
      </w:r>
      <w:r w:rsidRPr="001110D5">
        <w:rPr>
          <w:b/>
          <w:sz w:val="24"/>
          <w:lang w:val="es-MX"/>
        </w:rPr>
        <w:t xml:space="preserve">Anexo 5 </w:t>
      </w:r>
      <w:r w:rsidRPr="001110D5">
        <w:rPr>
          <w:sz w:val="24"/>
          <w:lang w:val="es-MX"/>
        </w:rPr>
        <w:t>(</w:t>
      </w:r>
      <w:r w:rsidRPr="001110D5">
        <w:rPr>
          <w:b/>
          <w:i/>
          <w:sz w:val="24"/>
          <w:lang w:val="es-MX"/>
        </w:rPr>
        <w:t>Procedimiento de Revisión</w:t>
      </w:r>
      <w:r w:rsidRPr="001110D5">
        <w:rPr>
          <w:sz w:val="24"/>
          <w:lang w:val="es-MX"/>
        </w:rPr>
        <w:t>) siempre y cuando su propuesta no rebase los plazos establecidos en el mismo Apéndice</w:t>
      </w:r>
      <w:r w:rsidRPr="001110D5">
        <w:rPr>
          <w:sz w:val="24"/>
          <w:lang w:val="es-MX"/>
        </w:rPr>
        <w:t xml:space="preserve"> y no contravengan al Procedimiento de Revisión establecido en el </w:t>
      </w:r>
      <w:r w:rsidRPr="001110D5">
        <w:rPr>
          <w:b/>
          <w:sz w:val="24"/>
          <w:lang w:val="es-MX"/>
        </w:rPr>
        <w:t>Apéndice A (</w:t>
      </w:r>
      <w:r w:rsidRPr="001110D5">
        <w:rPr>
          <w:b/>
          <w:i/>
          <w:sz w:val="24"/>
          <w:lang w:val="es-MX"/>
        </w:rPr>
        <w:t>Procedimiento de Revisión de la Información de Diseño</w:t>
      </w:r>
      <w:r w:rsidRPr="001110D5">
        <w:rPr>
          <w:b/>
          <w:sz w:val="24"/>
          <w:lang w:val="es-MX"/>
        </w:rPr>
        <w:t>) del Anexo 5 (</w:t>
      </w:r>
      <w:r w:rsidRPr="001110D5">
        <w:rPr>
          <w:b/>
          <w:i/>
          <w:sz w:val="24"/>
          <w:lang w:val="es-MX"/>
        </w:rPr>
        <w:t>Procedimiento de Revisión</w:t>
      </w:r>
      <w:r w:rsidRPr="001110D5">
        <w:rPr>
          <w:b/>
          <w:sz w:val="24"/>
          <w:lang w:val="es-MX"/>
        </w:rPr>
        <w:t xml:space="preserve">). </w:t>
      </w:r>
      <w:r w:rsidRPr="001110D5">
        <w:rPr>
          <w:sz w:val="24"/>
          <w:lang w:val="es-MX"/>
        </w:rPr>
        <w:t xml:space="preserve">Teniendo como principal limitación respetar la </w:t>
      </w:r>
      <w:r w:rsidRPr="001110D5">
        <w:rPr>
          <w:b/>
          <w:sz w:val="24"/>
          <w:lang w:val="es-MX"/>
        </w:rPr>
        <w:t xml:space="preserve">Fecha Programada de Terminación de Obra. </w:t>
      </w:r>
      <w:r w:rsidRPr="001110D5">
        <w:rPr>
          <w:sz w:val="24"/>
          <w:lang w:val="es-MX"/>
        </w:rPr>
        <w:t xml:space="preserve">Si este fuera el caso, el nuevo programa presentado por el Desarrollador y revisado por el Instituto conforme al </w:t>
      </w:r>
      <w:r w:rsidRPr="001110D5">
        <w:rPr>
          <w:b/>
          <w:sz w:val="24"/>
          <w:lang w:val="es-MX"/>
        </w:rPr>
        <w:t>Anexo 5 (Procedimiento de Revisión)</w:t>
      </w:r>
      <w:r w:rsidRPr="001110D5">
        <w:rPr>
          <w:sz w:val="24"/>
          <w:lang w:val="es-MX"/>
        </w:rPr>
        <w:t>, se utilizará para el control y monitoreo de avance, así como para</w:t>
      </w:r>
      <w:r w:rsidRPr="001110D5">
        <w:rPr>
          <w:sz w:val="24"/>
          <w:lang w:val="es-MX"/>
        </w:rPr>
        <w:t xml:space="preserve"> el cálculo de  las Sanciones a las que se refiere la sección 7 del </w:t>
      </w:r>
      <w:r w:rsidRPr="001110D5">
        <w:rPr>
          <w:b/>
          <w:sz w:val="24"/>
          <w:lang w:val="es-MX"/>
        </w:rPr>
        <w:t>Anexo 5 (</w:t>
      </w:r>
      <w:r w:rsidRPr="001110D5">
        <w:rPr>
          <w:b/>
          <w:i/>
          <w:sz w:val="24"/>
          <w:lang w:val="es-MX"/>
        </w:rPr>
        <w:t>Procedimiento de</w:t>
      </w:r>
      <w:r w:rsidRPr="001110D5">
        <w:rPr>
          <w:b/>
          <w:i/>
          <w:spacing w:val="-16"/>
          <w:sz w:val="24"/>
          <w:lang w:val="es-MX"/>
        </w:rPr>
        <w:t xml:space="preserve"> </w:t>
      </w:r>
      <w:r w:rsidRPr="001110D5">
        <w:rPr>
          <w:b/>
          <w:i/>
          <w:sz w:val="24"/>
          <w:lang w:val="es-MX"/>
        </w:rPr>
        <w:t>Revisión</w:t>
      </w:r>
      <w:r w:rsidRPr="001110D5">
        <w:rPr>
          <w:b/>
          <w:sz w:val="24"/>
          <w:lang w:val="es-MX"/>
        </w:rPr>
        <w:t>).</w:t>
      </w:r>
    </w:p>
    <w:p w:rsidR="00AF39ED" w:rsidRPr="001110D5" w:rsidRDefault="00AF39ED">
      <w:pPr>
        <w:pStyle w:val="Textoindependiente"/>
        <w:rPr>
          <w:b/>
          <w:sz w:val="26"/>
          <w:lang w:val="es-MX"/>
        </w:rPr>
      </w:pPr>
    </w:p>
    <w:p w:rsidR="00AF39ED" w:rsidRPr="001110D5" w:rsidRDefault="00AF39ED">
      <w:pPr>
        <w:pStyle w:val="Textoindependiente"/>
        <w:spacing w:before="3"/>
        <w:rPr>
          <w:b/>
          <w:sz w:val="28"/>
          <w:lang w:val="es-MX"/>
        </w:rPr>
      </w:pPr>
    </w:p>
    <w:p w:rsidR="00AF39ED" w:rsidRDefault="004643D7">
      <w:pPr>
        <w:pStyle w:val="Ttulo1"/>
        <w:numPr>
          <w:ilvl w:val="2"/>
          <w:numId w:val="2"/>
        </w:numPr>
        <w:tabs>
          <w:tab w:val="left" w:pos="1542"/>
        </w:tabs>
        <w:spacing w:before="0"/>
      </w:pPr>
      <w:r>
        <w:t>CONSTRUCCIÓN Y</w:t>
      </w:r>
      <w:r>
        <w:rPr>
          <w:spacing w:val="-4"/>
        </w:rPr>
        <w:t xml:space="preserve"> </w:t>
      </w:r>
      <w:r>
        <w:t>EQUIPAMIENTO</w:t>
      </w:r>
    </w:p>
    <w:p w:rsidR="00AF39ED" w:rsidRPr="001110D5" w:rsidRDefault="004643D7">
      <w:pPr>
        <w:pStyle w:val="Textoindependiente"/>
        <w:spacing w:before="180" w:line="256" w:lineRule="auto"/>
        <w:ind w:left="102" w:right="115"/>
        <w:jc w:val="both"/>
        <w:rPr>
          <w:lang w:val="es-MX"/>
        </w:rPr>
      </w:pPr>
      <w:r w:rsidRPr="001110D5">
        <w:rPr>
          <w:lang w:val="es-MX"/>
        </w:rPr>
        <w:t>La Etapa de Construcción y Equipamiento se debe de ejecutar en 18 meses y debe considerar todas las etapas de trabajos pr</w:t>
      </w:r>
      <w:r w:rsidRPr="001110D5">
        <w:rPr>
          <w:lang w:val="es-MX"/>
        </w:rPr>
        <w:t>eliminares y Autorizaciones; así mismo la estructura del programa de construcción debe corresponder al de la propuesta financiera.</w:t>
      </w:r>
    </w:p>
    <w:p w:rsidR="00AF39ED" w:rsidRPr="001110D5" w:rsidRDefault="004643D7">
      <w:pPr>
        <w:pStyle w:val="Textoindependiente"/>
        <w:spacing w:before="164"/>
        <w:ind w:left="102"/>
        <w:jc w:val="both"/>
        <w:rPr>
          <w:lang w:val="es-MX"/>
        </w:rPr>
      </w:pPr>
      <w:r w:rsidRPr="001110D5">
        <w:rPr>
          <w:lang w:val="es-MX"/>
        </w:rPr>
        <w:t>El desglose del programa por partida, deberá ser hasta el cuarto nivel, por ejemplo:</w:t>
      </w:r>
    </w:p>
    <w:p w:rsidR="00AF39ED" w:rsidRPr="001110D5" w:rsidRDefault="00AF39ED">
      <w:pPr>
        <w:pStyle w:val="Textoindependiente"/>
        <w:rPr>
          <w:sz w:val="26"/>
          <w:lang w:val="es-MX"/>
        </w:rPr>
      </w:pPr>
    </w:p>
    <w:p w:rsidR="00AF39ED" w:rsidRPr="001110D5" w:rsidRDefault="00AF39ED">
      <w:pPr>
        <w:pStyle w:val="Textoindependiente"/>
        <w:spacing w:before="7"/>
        <w:rPr>
          <w:sz w:val="29"/>
          <w:lang w:val="es-MX"/>
        </w:rPr>
      </w:pPr>
    </w:p>
    <w:p w:rsidR="00AF39ED" w:rsidRPr="001110D5" w:rsidRDefault="004643D7">
      <w:pPr>
        <w:pStyle w:val="Prrafodelista"/>
        <w:numPr>
          <w:ilvl w:val="1"/>
          <w:numId w:val="1"/>
        </w:numPr>
        <w:tabs>
          <w:tab w:val="left" w:pos="909"/>
        </w:tabs>
        <w:spacing w:before="1" w:line="256" w:lineRule="auto"/>
        <w:ind w:right="119" w:firstLine="0"/>
        <w:rPr>
          <w:sz w:val="24"/>
          <w:lang w:val="es-MX"/>
        </w:rPr>
      </w:pPr>
      <w:r w:rsidRPr="001110D5">
        <w:rPr>
          <w:sz w:val="24"/>
          <w:lang w:val="es-MX"/>
        </w:rPr>
        <w:t>En primer nivel: Fases del Proyecto (P</w:t>
      </w:r>
      <w:r w:rsidRPr="001110D5">
        <w:rPr>
          <w:sz w:val="24"/>
          <w:lang w:val="es-MX"/>
        </w:rPr>
        <w:t>royecto Ejecutivo, Construcción, Pre operación,</w:t>
      </w:r>
      <w:r w:rsidRPr="001110D5">
        <w:rPr>
          <w:spacing w:val="-4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etc.).</w:t>
      </w:r>
    </w:p>
    <w:p w:rsidR="00AF39ED" w:rsidRPr="001110D5" w:rsidRDefault="00AF39ED">
      <w:pPr>
        <w:spacing w:line="256" w:lineRule="auto"/>
        <w:rPr>
          <w:sz w:val="24"/>
          <w:lang w:val="es-MX"/>
        </w:rPr>
        <w:sectPr w:rsidR="00AF39ED" w:rsidRPr="001110D5">
          <w:pgSz w:w="12240" w:h="15840"/>
          <w:pgMar w:top="980" w:right="1580" w:bottom="880" w:left="1600" w:header="715" w:footer="690" w:gutter="0"/>
          <w:cols w:space="720"/>
        </w:sect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spacing w:before="8"/>
        <w:rPr>
          <w:sz w:val="17"/>
          <w:lang w:val="es-MX"/>
        </w:rPr>
      </w:pPr>
    </w:p>
    <w:p w:rsidR="00AF39ED" w:rsidRDefault="004643D7">
      <w:pPr>
        <w:pStyle w:val="Textoindependiente"/>
        <w:ind w:left="101"/>
        <w:rPr>
          <w:sz w:val="20"/>
        </w:rPr>
      </w:pPr>
      <w:r>
        <w:rPr>
          <w:noProof/>
          <w:sz w:val="20"/>
          <w:lang w:val="es-MX" w:eastAsia="es-MX"/>
        </w:rPr>
        <w:drawing>
          <wp:inline distT="0" distB="0" distL="0" distR="0">
            <wp:extent cx="5646338" cy="2047875"/>
            <wp:effectExtent l="0" t="0" r="0" b="0"/>
            <wp:docPr id="1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6338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spacing w:before="9"/>
      </w:pPr>
    </w:p>
    <w:p w:rsidR="00AF39ED" w:rsidRPr="001110D5" w:rsidRDefault="004643D7">
      <w:pPr>
        <w:pStyle w:val="Prrafodelista"/>
        <w:numPr>
          <w:ilvl w:val="1"/>
          <w:numId w:val="1"/>
        </w:numPr>
        <w:tabs>
          <w:tab w:val="left" w:pos="854"/>
        </w:tabs>
        <w:spacing w:before="90" w:line="256" w:lineRule="auto"/>
        <w:ind w:right="120" w:firstLine="0"/>
        <w:jc w:val="both"/>
        <w:rPr>
          <w:sz w:val="24"/>
          <w:lang w:val="es-MX"/>
        </w:rPr>
      </w:pPr>
      <w:r w:rsidRPr="001110D5">
        <w:rPr>
          <w:sz w:val="24"/>
          <w:lang w:val="es-MX"/>
        </w:rPr>
        <w:t>En segundo nivel: Elementos, edificaciones, estructuras o frentes (Hospital, áreas exteriores, estacionamiento,</w:t>
      </w:r>
      <w:r w:rsidRPr="001110D5">
        <w:rPr>
          <w:spacing w:val="-8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etc.).</w:t>
      </w: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4643D7">
      <w:pPr>
        <w:pStyle w:val="Textoindependiente"/>
        <w:spacing w:before="1"/>
        <w:rPr>
          <w:sz w:val="11"/>
          <w:lang w:val="es-MX"/>
        </w:rPr>
      </w:pPr>
      <w:r>
        <w:rPr>
          <w:noProof/>
          <w:lang w:val="es-MX" w:eastAsia="es-MX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106133</wp:posOffset>
            </wp:positionV>
            <wp:extent cx="5642500" cy="2014537"/>
            <wp:effectExtent l="0" t="0" r="0" b="0"/>
            <wp:wrapTopAndBottom/>
            <wp:docPr id="1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2500" cy="2014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39ED" w:rsidRPr="001110D5" w:rsidRDefault="00AF39ED">
      <w:pPr>
        <w:pStyle w:val="Textoindependiente"/>
        <w:rPr>
          <w:sz w:val="26"/>
          <w:lang w:val="es-MX"/>
        </w:rPr>
      </w:pPr>
    </w:p>
    <w:p w:rsidR="00AF39ED" w:rsidRPr="001110D5" w:rsidRDefault="00AF39ED">
      <w:pPr>
        <w:pStyle w:val="Textoindependiente"/>
        <w:spacing w:before="8"/>
        <w:rPr>
          <w:lang w:val="es-MX"/>
        </w:rPr>
      </w:pPr>
    </w:p>
    <w:p w:rsidR="00AF39ED" w:rsidRPr="001110D5" w:rsidRDefault="004643D7">
      <w:pPr>
        <w:pStyle w:val="Prrafodelista"/>
        <w:numPr>
          <w:ilvl w:val="1"/>
          <w:numId w:val="1"/>
        </w:numPr>
        <w:tabs>
          <w:tab w:val="left" w:pos="844"/>
        </w:tabs>
        <w:spacing w:line="256" w:lineRule="auto"/>
        <w:ind w:right="122" w:firstLine="0"/>
        <w:jc w:val="both"/>
        <w:rPr>
          <w:sz w:val="24"/>
          <w:lang w:val="es-MX"/>
        </w:rPr>
      </w:pPr>
      <w:r w:rsidRPr="001110D5">
        <w:rPr>
          <w:sz w:val="24"/>
          <w:lang w:val="es-MX"/>
        </w:rPr>
        <w:t>En tercer nivel: Partidas de actividades a realizarse en cada elemento, edificación, estructura o frente, y que deberán coincidir con las partidas del Proyecto Ejecutivo (cimentación, estructura,</w:t>
      </w:r>
      <w:r w:rsidRPr="001110D5">
        <w:rPr>
          <w:spacing w:val="-8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etc.).</w:t>
      </w:r>
    </w:p>
    <w:p w:rsidR="00AF39ED" w:rsidRPr="001110D5" w:rsidRDefault="00AF39ED">
      <w:pPr>
        <w:spacing w:line="256" w:lineRule="auto"/>
        <w:jc w:val="both"/>
        <w:rPr>
          <w:sz w:val="24"/>
          <w:lang w:val="es-MX"/>
        </w:rPr>
        <w:sectPr w:rsidR="00AF39ED" w:rsidRPr="001110D5">
          <w:pgSz w:w="12240" w:h="15840"/>
          <w:pgMar w:top="980" w:right="1580" w:bottom="880" w:left="1600" w:header="715" w:footer="690" w:gutter="0"/>
          <w:cols w:space="720"/>
        </w:sect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spacing w:before="10" w:after="1"/>
        <w:rPr>
          <w:sz w:val="17"/>
          <w:lang w:val="es-MX"/>
        </w:rPr>
      </w:pPr>
    </w:p>
    <w:p w:rsidR="00AF39ED" w:rsidRDefault="004643D7">
      <w:pPr>
        <w:pStyle w:val="Textoindependiente"/>
        <w:ind w:left="101"/>
        <w:rPr>
          <w:sz w:val="20"/>
        </w:rPr>
      </w:pPr>
      <w:r>
        <w:rPr>
          <w:noProof/>
          <w:sz w:val="20"/>
          <w:lang w:val="es-MX" w:eastAsia="es-MX"/>
        </w:rPr>
        <w:drawing>
          <wp:inline distT="0" distB="0" distL="0" distR="0">
            <wp:extent cx="5665725" cy="2033587"/>
            <wp:effectExtent l="0" t="0" r="0" b="0"/>
            <wp:docPr id="1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5725" cy="203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9ED" w:rsidRDefault="00AF39ED">
      <w:pPr>
        <w:pStyle w:val="Textoindependiente"/>
        <w:rPr>
          <w:sz w:val="20"/>
        </w:rPr>
      </w:pPr>
    </w:p>
    <w:p w:rsidR="00AF39ED" w:rsidRDefault="00AF39ED">
      <w:pPr>
        <w:pStyle w:val="Textoindependiente"/>
        <w:spacing w:before="4"/>
        <w:rPr>
          <w:sz w:val="25"/>
        </w:rPr>
      </w:pPr>
    </w:p>
    <w:p w:rsidR="00AF39ED" w:rsidRPr="001110D5" w:rsidRDefault="004643D7">
      <w:pPr>
        <w:pStyle w:val="Prrafodelista"/>
        <w:numPr>
          <w:ilvl w:val="1"/>
          <w:numId w:val="1"/>
        </w:numPr>
        <w:tabs>
          <w:tab w:val="left" w:pos="873"/>
        </w:tabs>
        <w:spacing w:before="90" w:line="256" w:lineRule="auto"/>
        <w:ind w:right="140" w:firstLine="0"/>
        <w:rPr>
          <w:sz w:val="24"/>
          <w:lang w:val="es-MX"/>
        </w:rPr>
      </w:pPr>
      <w:r w:rsidRPr="001110D5">
        <w:rPr>
          <w:sz w:val="24"/>
          <w:lang w:val="es-MX"/>
        </w:rPr>
        <w:t>En cuarto nivel: Todas las actividades para completar cada una de las partidas (excavación, cimbra, armado de acero, colado de concreto,</w:t>
      </w:r>
      <w:r w:rsidRPr="001110D5">
        <w:rPr>
          <w:spacing w:val="-9"/>
          <w:sz w:val="24"/>
          <w:lang w:val="es-MX"/>
        </w:rPr>
        <w:t xml:space="preserve"> </w:t>
      </w:r>
      <w:r w:rsidRPr="001110D5">
        <w:rPr>
          <w:sz w:val="24"/>
          <w:lang w:val="es-MX"/>
        </w:rPr>
        <w:t>etc.).</w:t>
      </w: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4643D7">
      <w:pPr>
        <w:pStyle w:val="Textoindependiente"/>
        <w:spacing w:before="3"/>
        <w:rPr>
          <w:sz w:val="11"/>
          <w:lang w:val="es-MX"/>
        </w:rPr>
      </w:pPr>
      <w:r>
        <w:rPr>
          <w:noProof/>
          <w:lang w:val="es-MX" w:eastAsia="es-MX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107085</wp:posOffset>
            </wp:positionV>
            <wp:extent cx="5554785" cy="2562320"/>
            <wp:effectExtent l="0" t="0" r="0" b="0"/>
            <wp:wrapTopAndBottom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4785" cy="256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F39ED" w:rsidRPr="001110D5" w:rsidRDefault="00AF39ED">
      <w:pPr>
        <w:rPr>
          <w:sz w:val="11"/>
          <w:lang w:val="es-MX"/>
        </w:rPr>
        <w:sectPr w:rsidR="00AF39ED" w:rsidRPr="001110D5">
          <w:pgSz w:w="12240" w:h="15840"/>
          <w:pgMar w:top="980" w:right="1560" w:bottom="880" w:left="1600" w:header="715" w:footer="690" w:gutter="0"/>
          <w:cols w:space="720"/>
        </w:sectPr>
      </w:pPr>
    </w:p>
    <w:p w:rsidR="00AF39ED" w:rsidRPr="001110D5" w:rsidRDefault="00AF39ED">
      <w:pPr>
        <w:pStyle w:val="Textoindependiente"/>
        <w:spacing w:before="8"/>
        <w:rPr>
          <w:sz w:val="29"/>
          <w:lang w:val="es-MX"/>
        </w:rPr>
      </w:pPr>
    </w:p>
    <w:p w:rsidR="00AF39ED" w:rsidRDefault="004643D7">
      <w:pPr>
        <w:pStyle w:val="Ttulo1"/>
        <w:numPr>
          <w:ilvl w:val="2"/>
          <w:numId w:val="2"/>
        </w:numPr>
        <w:tabs>
          <w:tab w:val="left" w:pos="1542"/>
        </w:tabs>
      </w:pPr>
      <w:r>
        <w:t>PREOPERACIÓN</w:t>
      </w:r>
    </w:p>
    <w:p w:rsidR="00AF39ED" w:rsidRPr="001110D5" w:rsidRDefault="004643D7">
      <w:pPr>
        <w:pStyle w:val="Textoindependiente"/>
        <w:spacing w:before="180" w:line="259" w:lineRule="auto"/>
        <w:ind w:left="102" w:right="115"/>
        <w:jc w:val="both"/>
        <w:rPr>
          <w:lang w:val="es-MX"/>
        </w:rPr>
      </w:pPr>
      <w:r w:rsidRPr="001110D5">
        <w:rPr>
          <w:lang w:val="es-MX"/>
        </w:rPr>
        <w:t xml:space="preserve">La descripción de las actividades del Periodo de Preoperación, deberá considerar el desglose de todas y cada una de las actividades que se validen en el Programa de Inicio de Servicios de conformidad con la cláusula 7.3.1 del Contrato, bajo este entendido </w:t>
      </w:r>
      <w:r w:rsidRPr="001110D5">
        <w:rPr>
          <w:lang w:val="es-MX"/>
        </w:rPr>
        <w:t xml:space="preserve">el Desarrollador deberá realizar un programa claro, diferenciando las Actividades del Instituto de las Actividades del Desarrollador, identificando los Principales Hitos referidos en el </w:t>
      </w:r>
      <w:r w:rsidRPr="001110D5">
        <w:rPr>
          <w:b/>
          <w:lang w:val="es-MX"/>
        </w:rPr>
        <w:t xml:space="preserve">Anexo 20 </w:t>
      </w:r>
      <w:r w:rsidRPr="001110D5">
        <w:rPr>
          <w:b/>
          <w:i/>
          <w:lang w:val="es-MX"/>
        </w:rPr>
        <w:t>(Modelo de Certificados)</w:t>
      </w:r>
      <w:r w:rsidRPr="001110D5">
        <w:rPr>
          <w:lang w:val="es-MX"/>
        </w:rPr>
        <w:t xml:space="preserve">, adicional se deberán desglosar las </w:t>
      </w:r>
      <w:r w:rsidRPr="001110D5">
        <w:rPr>
          <w:lang w:val="es-MX"/>
        </w:rPr>
        <w:t xml:space="preserve">actividades por Unidad Funcional y priorizando las Unidades Funcionales de conformidad con la apertura gradual referida en el Plan de Apertura que se refiere en el </w:t>
      </w:r>
      <w:r w:rsidRPr="001110D5">
        <w:rPr>
          <w:b/>
          <w:lang w:val="es-MX"/>
        </w:rPr>
        <w:t xml:space="preserve">Anexo 10 </w:t>
      </w:r>
      <w:r w:rsidRPr="001110D5">
        <w:rPr>
          <w:b/>
          <w:i/>
          <w:lang w:val="es-MX"/>
        </w:rPr>
        <w:t>(Requerimientos de Servicios)</w:t>
      </w:r>
      <w:r w:rsidRPr="001110D5">
        <w:rPr>
          <w:lang w:val="es-MX"/>
        </w:rPr>
        <w:t xml:space="preserve">. De manera enunciativa </w:t>
      </w:r>
      <w:proofErr w:type="gramStart"/>
      <w:r w:rsidRPr="001110D5">
        <w:rPr>
          <w:lang w:val="es-MX"/>
        </w:rPr>
        <w:t>mas</w:t>
      </w:r>
      <w:proofErr w:type="gramEnd"/>
      <w:r w:rsidRPr="001110D5">
        <w:rPr>
          <w:lang w:val="es-MX"/>
        </w:rPr>
        <w:t xml:space="preserve"> no limitativa se propone l</w:t>
      </w:r>
      <w:r w:rsidRPr="001110D5">
        <w:rPr>
          <w:lang w:val="es-MX"/>
        </w:rPr>
        <w:t>o</w:t>
      </w:r>
      <w:r w:rsidRPr="001110D5">
        <w:rPr>
          <w:spacing w:val="-11"/>
          <w:lang w:val="es-MX"/>
        </w:rPr>
        <w:t xml:space="preserve"> </w:t>
      </w:r>
      <w:r w:rsidRPr="001110D5">
        <w:rPr>
          <w:lang w:val="es-MX"/>
        </w:rPr>
        <w:t>siguiente;</w:t>
      </w: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Pr="001110D5" w:rsidRDefault="00AF39ED">
      <w:pPr>
        <w:pStyle w:val="Textoindependiente"/>
        <w:rPr>
          <w:sz w:val="20"/>
          <w:lang w:val="es-MX"/>
        </w:rPr>
      </w:pPr>
    </w:p>
    <w:p w:rsidR="00AF39ED" w:rsidRDefault="004643D7">
      <w:pPr>
        <w:pStyle w:val="Textoindependiente"/>
        <w:rPr>
          <w:sz w:val="11"/>
        </w:rPr>
      </w:pPr>
      <w:r>
        <w:rPr>
          <w:noProof/>
          <w:lang w:val="es-MX" w:eastAsia="es-MX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105532</wp:posOffset>
            </wp:positionV>
            <wp:extent cx="5595406" cy="2891599"/>
            <wp:effectExtent l="0" t="0" r="0" b="0"/>
            <wp:wrapTopAndBottom/>
            <wp:docPr id="2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5406" cy="2891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F39ED">
      <w:pgSz w:w="12240" w:h="15840"/>
      <w:pgMar w:top="980" w:right="1580" w:bottom="880" w:left="1600" w:header="715" w:footer="6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3D7" w:rsidRDefault="004643D7">
      <w:r>
        <w:separator/>
      </w:r>
    </w:p>
  </w:endnote>
  <w:endnote w:type="continuationSeparator" w:id="0">
    <w:p w:rsidR="004643D7" w:rsidRDefault="0046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9ED" w:rsidRDefault="004643D7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4.1pt;margin-top:746.5pt;width:229.25pt;height:10.95pt;z-index:-16480;mso-position-horizontal-relative:page;mso-position-vertical-relative:page" filled="f" stroked="f">
          <v:textbox inset="0,0,0,0">
            <w:txbxContent>
              <w:p w:rsidR="00AF39ED" w:rsidRDefault="004643D7">
                <w:pPr>
                  <w:spacing w:before="14"/>
                  <w:ind w:left="20"/>
                  <w:rPr>
                    <w:sz w:val="16"/>
                  </w:rPr>
                </w:pPr>
                <w:r w:rsidRPr="001110D5">
                  <w:rPr>
                    <w:sz w:val="16"/>
                    <w:lang w:val="es-MX"/>
                  </w:rPr>
                  <w:t xml:space="preserve">Concurso Público Internacional Mixto No. </w:t>
                </w:r>
                <w:r>
                  <w:rPr>
                    <w:sz w:val="16"/>
                  </w:rPr>
                  <w:t>APP-019GYR040-E1-2017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21.05pt;margin-top:746.6pt;width:8.05pt;height:10.95pt;z-index:-16456;mso-position-horizontal-relative:page;mso-position-vertical-relative:page" filled="f" stroked="f">
          <v:textbox inset="0,0,0,0">
            <w:txbxContent>
              <w:p w:rsidR="00AF39ED" w:rsidRDefault="004643D7">
                <w:pPr>
                  <w:spacing w:before="14"/>
                  <w:ind w:left="4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color w:val="80808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1110D5">
                  <w:rPr>
                    <w:noProof/>
                    <w:color w:val="808080"/>
                    <w:sz w:val="16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3D7" w:rsidRDefault="004643D7">
      <w:r>
        <w:separator/>
      </w:r>
    </w:p>
  </w:footnote>
  <w:footnote w:type="continuationSeparator" w:id="0">
    <w:p w:rsidR="004643D7" w:rsidRDefault="00464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9ED" w:rsidRDefault="004643D7">
    <w:pPr>
      <w:pStyle w:val="Textoindependien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85pt;margin-top:34.75pt;width:43.05pt;height:15.3pt;z-index:-16504;mso-position-horizontal-relative:page;mso-position-vertical-relative:page" filled="f" stroked="f">
          <v:textbox inset="0,0,0,0">
            <w:txbxContent>
              <w:p w:rsidR="00AF39ED" w:rsidRDefault="004643D7">
                <w:pPr>
                  <w:spacing w:before="10"/>
                  <w:ind w:left="20"/>
                  <w:rPr>
                    <w:b/>
                    <w:i/>
                    <w:sz w:val="24"/>
                  </w:rPr>
                </w:pPr>
                <w:proofErr w:type="spellStart"/>
                <w:r>
                  <w:rPr>
                    <w:b/>
                    <w:i/>
                    <w:sz w:val="24"/>
                  </w:rPr>
                  <w:t>Anexo</w:t>
                </w:r>
                <w:proofErr w:type="spellEnd"/>
                <w:r>
                  <w:rPr>
                    <w:b/>
                    <w:i/>
                    <w:sz w:val="24"/>
                  </w:rPr>
                  <w:t xml:space="preserve"> 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320C8"/>
    <w:multiLevelType w:val="multilevel"/>
    <w:tmpl w:val="4D9A67E4"/>
    <w:lvl w:ilvl="0">
      <w:start w:val="2"/>
      <w:numFmt w:val="lowerLetter"/>
      <w:lvlText w:val="%1"/>
      <w:lvlJc w:val="left"/>
      <w:pPr>
        <w:ind w:left="462" w:hanging="44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2" w:hanging="447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2">
      <w:numFmt w:val="bullet"/>
      <w:lvlText w:val="•"/>
      <w:lvlJc w:val="left"/>
      <w:pPr>
        <w:ind w:left="2180" w:hanging="447"/>
      </w:pPr>
      <w:rPr>
        <w:rFonts w:hint="default"/>
      </w:rPr>
    </w:lvl>
    <w:lvl w:ilvl="3">
      <w:numFmt w:val="bullet"/>
      <w:lvlText w:val="•"/>
      <w:lvlJc w:val="left"/>
      <w:pPr>
        <w:ind w:left="3040" w:hanging="447"/>
      </w:pPr>
      <w:rPr>
        <w:rFonts w:hint="default"/>
      </w:rPr>
    </w:lvl>
    <w:lvl w:ilvl="4">
      <w:numFmt w:val="bullet"/>
      <w:lvlText w:val="•"/>
      <w:lvlJc w:val="left"/>
      <w:pPr>
        <w:ind w:left="3900" w:hanging="447"/>
      </w:pPr>
      <w:rPr>
        <w:rFonts w:hint="default"/>
      </w:rPr>
    </w:lvl>
    <w:lvl w:ilvl="5">
      <w:numFmt w:val="bullet"/>
      <w:lvlText w:val="•"/>
      <w:lvlJc w:val="left"/>
      <w:pPr>
        <w:ind w:left="4760" w:hanging="447"/>
      </w:pPr>
      <w:rPr>
        <w:rFonts w:hint="default"/>
      </w:rPr>
    </w:lvl>
    <w:lvl w:ilvl="6">
      <w:numFmt w:val="bullet"/>
      <w:lvlText w:val="•"/>
      <w:lvlJc w:val="left"/>
      <w:pPr>
        <w:ind w:left="5620" w:hanging="447"/>
      </w:pPr>
      <w:rPr>
        <w:rFonts w:hint="default"/>
      </w:rPr>
    </w:lvl>
    <w:lvl w:ilvl="7">
      <w:numFmt w:val="bullet"/>
      <w:lvlText w:val="•"/>
      <w:lvlJc w:val="left"/>
      <w:pPr>
        <w:ind w:left="6480" w:hanging="447"/>
      </w:pPr>
      <w:rPr>
        <w:rFonts w:hint="default"/>
      </w:rPr>
    </w:lvl>
    <w:lvl w:ilvl="8">
      <w:numFmt w:val="bullet"/>
      <w:lvlText w:val="•"/>
      <w:lvlJc w:val="left"/>
      <w:pPr>
        <w:ind w:left="7340" w:hanging="447"/>
      </w:pPr>
      <w:rPr>
        <w:rFonts w:hint="default"/>
      </w:rPr>
    </w:lvl>
  </w:abstractNum>
  <w:abstractNum w:abstractNumId="1">
    <w:nsid w:val="77B1014B"/>
    <w:multiLevelType w:val="hybridMultilevel"/>
    <w:tmpl w:val="92960574"/>
    <w:lvl w:ilvl="0" w:tplc="6DC0F072">
      <w:start w:val="1"/>
      <w:numFmt w:val="decimal"/>
      <w:lvlText w:val="%1."/>
      <w:lvlJc w:val="left"/>
      <w:pPr>
        <w:ind w:left="842" w:hanging="36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03ECC300">
      <w:start w:val="1"/>
      <w:numFmt w:val="lowerLetter"/>
      <w:lvlText w:val="%2."/>
      <w:lvlJc w:val="left"/>
      <w:pPr>
        <w:ind w:left="1190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2" w:tplc="8ED885EA">
      <w:start w:val="1"/>
      <w:numFmt w:val="lowerLetter"/>
      <w:lvlText w:val="%3."/>
      <w:lvlJc w:val="left"/>
      <w:pPr>
        <w:ind w:left="1542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3" w:tplc="CB66B0FA">
      <w:numFmt w:val="bullet"/>
      <w:lvlText w:val="•"/>
      <w:lvlJc w:val="left"/>
      <w:pPr>
        <w:ind w:left="2480" w:hanging="360"/>
      </w:pPr>
      <w:rPr>
        <w:rFonts w:hint="default"/>
      </w:rPr>
    </w:lvl>
    <w:lvl w:ilvl="4" w:tplc="061236CE">
      <w:numFmt w:val="bullet"/>
      <w:lvlText w:val="•"/>
      <w:lvlJc w:val="left"/>
      <w:pPr>
        <w:ind w:left="3420" w:hanging="360"/>
      </w:pPr>
      <w:rPr>
        <w:rFonts w:hint="default"/>
      </w:rPr>
    </w:lvl>
    <w:lvl w:ilvl="5" w:tplc="FD36C808">
      <w:numFmt w:val="bullet"/>
      <w:lvlText w:val="•"/>
      <w:lvlJc w:val="left"/>
      <w:pPr>
        <w:ind w:left="4360" w:hanging="360"/>
      </w:pPr>
      <w:rPr>
        <w:rFonts w:hint="default"/>
      </w:rPr>
    </w:lvl>
    <w:lvl w:ilvl="6" w:tplc="7C2055E2">
      <w:numFmt w:val="bullet"/>
      <w:lvlText w:val="•"/>
      <w:lvlJc w:val="left"/>
      <w:pPr>
        <w:ind w:left="5300" w:hanging="360"/>
      </w:pPr>
      <w:rPr>
        <w:rFonts w:hint="default"/>
      </w:rPr>
    </w:lvl>
    <w:lvl w:ilvl="7" w:tplc="249A8E48">
      <w:numFmt w:val="bullet"/>
      <w:lvlText w:val="•"/>
      <w:lvlJc w:val="left"/>
      <w:pPr>
        <w:ind w:left="6240" w:hanging="360"/>
      </w:pPr>
      <w:rPr>
        <w:rFonts w:hint="default"/>
      </w:rPr>
    </w:lvl>
    <w:lvl w:ilvl="8" w:tplc="02BEB604">
      <w:numFmt w:val="bullet"/>
      <w:lvlText w:val="•"/>
      <w:lvlJc w:val="left"/>
      <w:pPr>
        <w:ind w:left="718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39ED"/>
    <w:rsid w:val="001110D5"/>
    <w:rsid w:val="004643D7"/>
    <w:rsid w:val="00AF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uiPriority w:val="1"/>
    <w:qFormat/>
    <w:pPr>
      <w:spacing w:before="90"/>
      <w:ind w:left="1542" w:hanging="36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462" w:hanging="360"/>
    </w:pPr>
  </w:style>
  <w:style w:type="paragraph" w:customStyle="1" w:styleId="TableParagraph">
    <w:name w:val="Table Paragraph"/>
    <w:basedOn w:val="Normal"/>
    <w:uiPriority w:val="1"/>
    <w:qFormat/>
    <w:pPr>
      <w:spacing w:before="6"/>
      <w:ind w:left="33"/>
    </w:pPr>
    <w:rPr>
      <w:rFonts w:ascii="Calibri" w:eastAsia="Calibri" w:hAnsi="Calibri" w:cs="Calibri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110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10D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919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Antonio Barrera M</dc:creator>
  <cp:lastModifiedBy>Home</cp:lastModifiedBy>
  <cp:revision>2</cp:revision>
  <dcterms:created xsi:type="dcterms:W3CDTF">2017-02-21T17:58:00Z</dcterms:created>
  <dcterms:modified xsi:type="dcterms:W3CDTF">2017-08-09T01:10:00Z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2017-02-21T00:00:00Z</vt:filetime>
  </property>
</Properties>
</file>